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715" w:rsidRPr="00C63C95" w:rsidRDefault="00EF541D">
      <w:pPr>
        <w:spacing w:before="120" w:after="120" w:line="240" w:lineRule="auto"/>
        <w:jc w:val="center"/>
        <w:rPr>
          <w:rFonts w:asciiTheme="majorHAnsi" w:eastAsia="DM Sans" w:hAnsiTheme="majorHAnsi" w:cstheme="majorHAnsi"/>
          <w:b/>
          <w:sz w:val="20"/>
          <w:szCs w:val="20"/>
          <w:lang w:val="el-GR"/>
        </w:rPr>
      </w:pPr>
      <w:bookmarkStart w:id="0" w:name="_2r0uhxc" w:colFirst="0" w:colLast="0"/>
      <w:bookmarkEnd w:id="0"/>
      <w:proofErr w:type="spellStart"/>
      <w:r w:rsidRPr="00C63C95">
        <w:rPr>
          <w:rFonts w:asciiTheme="majorHAnsi" w:eastAsia="DM Sans" w:hAnsiTheme="majorHAnsi" w:cstheme="majorHAnsi"/>
          <w:b/>
          <w:sz w:val="20"/>
          <w:szCs w:val="20"/>
          <w:lang w:val="el-GR"/>
        </w:rPr>
        <w:t>Lightyear</w:t>
      </w:r>
      <w:proofErr w:type="spellEnd"/>
      <w:r w:rsidRPr="00C63C95">
        <w:rPr>
          <w:rFonts w:asciiTheme="majorHAnsi" w:eastAsia="DM Sans" w:hAnsiTheme="majorHAnsi" w:cstheme="majorHAnsi"/>
          <w:b/>
          <w:sz w:val="20"/>
          <w:szCs w:val="20"/>
          <w:lang w:val="el-GR"/>
        </w:rPr>
        <w:t xml:space="preserve"> Europe AS</w:t>
      </w:r>
    </w:p>
    <w:p w:rsidR="00A64715" w:rsidRPr="00C63C95" w:rsidRDefault="00C63C95">
      <w:pPr>
        <w:spacing w:before="120" w:after="120" w:line="240" w:lineRule="auto"/>
        <w:jc w:val="center"/>
        <w:rPr>
          <w:rFonts w:asciiTheme="majorHAnsi" w:eastAsia="DM Sans" w:hAnsiTheme="majorHAnsi" w:cstheme="majorHAnsi"/>
          <w:b/>
          <w:sz w:val="20"/>
          <w:szCs w:val="20"/>
          <w:lang w:val="el-GR"/>
        </w:rPr>
      </w:pPr>
      <w:r w:rsidRPr="00C63C95">
        <w:rPr>
          <w:rFonts w:asciiTheme="majorHAnsi" w:eastAsia="DM Sans" w:hAnsiTheme="majorHAnsi" w:cstheme="majorHAnsi"/>
          <w:b/>
          <w:sz w:val="20"/>
          <w:szCs w:val="20"/>
          <w:lang w:val="el-GR"/>
        </w:rPr>
        <w:t xml:space="preserve">Τέλη Εξυπηρέτησης </w:t>
      </w:r>
    </w:p>
    <w:p w:rsidR="00A64715" w:rsidRPr="00C63C95" w:rsidRDefault="00A64715">
      <w:pPr>
        <w:spacing w:before="120" w:after="120" w:line="240" w:lineRule="auto"/>
        <w:jc w:val="both"/>
        <w:rPr>
          <w:rFonts w:asciiTheme="majorHAnsi" w:eastAsia="DM Sans" w:hAnsiTheme="majorHAnsi" w:cstheme="majorHAnsi"/>
          <w:sz w:val="20"/>
          <w:szCs w:val="20"/>
          <w:lang w:val="el-GR"/>
        </w:rPr>
      </w:pPr>
    </w:p>
    <w:p w:rsidR="00A64715" w:rsidRPr="00C63C95" w:rsidRDefault="00A20F9C" w:rsidP="00A20F9C">
      <w:pPr>
        <w:spacing w:before="120" w:after="120" w:line="240" w:lineRule="auto"/>
        <w:jc w:val="both"/>
        <w:rPr>
          <w:rFonts w:asciiTheme="majorHAnsi" w:eastAsia="DM Sans" w:hAnsiTheme="majorHAnsi" w:cstheme="majorHAnsi"/>
          <w:sz w:val="20"/>
          <w:szCs w:val="20"/>
          <w:lang w:val="el-GR"/>
        </w:rPr>
      </w:pPr>
      <w:r w:rsidRPr="00C63C95">
        <w:rPr>
          <w:rFonts w:asciiTheme="majorHAnsi" w:eastAsia="Cambria" w:hAnsiTheme="majorHAnsi" w:cstheme="majorHAnsi"/>
          <w:sz w:val="20"/>
          <w:szCs w:val="20"/>
          <w:lang w:val="el-GR"/>
        </w:rPr>
        <w:t xml:space="preserve">Ισχύει από 16 Ιουλίου 2025 </w:t>
      </w:r>
    </w:p>
    <w:p w:rsidR="00A64715" w:rsidRPr="00C63C95" w:rsidRDefault="00A64715">
      <w:pPr>
        <w:spacing w:before="120" w:after="120" w:line="240" w:lineRule="auto"/>
        <w:jc w:val="both"/>
        <w:rPr>
          <w:rFonts w:asciiTheme="majorHAnsi" w:eastAsia="DM Sans" w:hAnsiTheme="majorHAnsi" w:cstheme="majorHAnsi"/>
          <w:sz w:val="20"/>
          <w:szCs w:val="20"/>
          <w:lang w:val="el-GR"/>
        </w:rPr>
      </w:pPr>
    </w:p>
    <w:tbl>
      <w:tblPr>
        <w:tblStyle w:val="a"/>
        <w:tblW w:w="8506"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253"/>
      </w:tblGrid>
      <w:tr w:rsidR="00A64715" w:rsidRPr="00C63C95">
        <w:tc>
          <w:tcPr>
            <w:tcW w:w="8506" w:type="dxa"/>
            <w:gridSpan w:val="2"/>
          </w:tcPr>
          <w:p w:rsidR="00A64715" w:rsidRPr="00C63C95" w:rsidRDefault="00C55FCF">
            <w:pPr>
              <w:jc w:val="both"/>
              <w:rPr>
                <w:rFonts w:asciiTheme="majorHAnsi" w:eastAsia="DM Sans" w:hAnsiTheme="majorHAnsi" w:cstheme="majorHAnsi"/>
                <w:b/>
                <w:lang w:val="el-GR"/>
              </w:rPr>
            </w:pPr>
            <w:r w:rsidRPr="00C63C95">
              <w:rPr>
                <w:rFonts w:asciiTheme="majorHAnsi" w:eastAsia="DM Sans" w:hAnsiTheme="majorHAnsi" w:cstheme="majorHAnsi"/>
                <w:b/>
                <w:lang w:val="el-GR"/>
              </w:rPr>
              <w:t xml:space="preserve">Τέλη Εκτέλεσης </w:t>
            </w:r>
          </w:p>
        </w:tc>
      </w:tr>
      <w:tr w:rsidR="00A64715" w:rsidRPr="006859CF">
        <w:tc>
          <w:tcPr>
            <w:tcW w:w="4253" w:type="dxa"/>
          </w:tcPr>
          <w:p w:rsidR="00A64715" w:rsidRPr="00C63C95" w:rsidRDefault="00C55FCF">
            <w:pPr>
              <w:jc w:val="both"/>
              <w:rPr>
                <w:rFonts w:asciiTheme="majorHAnsi" w:eastAsia="DM Sans" w:hAnsiTheme="majorHAnsi" w:cstheme="majorHAnsi"/>
                <w:lang w:val="el-GR"/>
              </w:rPr>
            </w:pPr>
            <w:r w:rsidRPr="00C63C95">
              <w:rPr>
                <w:rFonts w:asciiTheme="majorHAnsi" w:eastAsia="Cambria" w:hAnsiTheme="majorHAnsi" w:cstheme="majorHAnsi"/>
                <w:lang w:val="el-GR"/>
              </w:rPr>
              <w:t>Δια</w:t>
            </w:r>
            <w:r w:rsidRPr="00C63C95">
              <w:rPr>
                <w:rFonts w:asciiTheme="majorHAnsi" w:eastAsia="DM Sans" w:hAnsiTheme="majorHAnsi" w:cstheme="majorHAnsi"/>
                <w:lang w:val="el-GR"/>
              </w:rPr>
              <w:t>π</w:t>
            </w:r>
            <w:r w:rsidRPr="00C63C95">
              <w:rPr>
                <w:rFonts w:asciiTheme="majorHAnsi" w:eastAsia="Cambria" w:hAnsiTheme="majorHAnsi" w:cstheme="majorHAnsi"/>
                <w:lang w:val="el-GR"/>
              </w:rPr>
              <w:t>ραγματεύσιμα</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αμοιβαία</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κεφάλαια</w:t>
            </w:r>
            <w:r w:rsidRPr="00C63C95">
              <w:rPr>
                <w:rFonts w:asciiTheme="majorHAnsi" w:eastAsia="DM Sans" w:hAnsiTheme="majorHAnsi" w:cstheme="majorHAnsi"/>
                <w:lang w:val="el-GR"/>
              </w:rPr>
              <w:t xml:space="preserve"> (</w:t>
            </w:r>
            <w:proofErr w:type="spellStart"/>
            <w:r w:rsidRPr="00C63C95">
              <w:rPr>
                <w:rFonts w:asciiTheme="majorHAnsi" w:eastAsia="DM Sans" w:hAnsiTheme="majorHAnsi" w:cstheme="majorHAnsi"/>
                <w:lang w:val="el-GR"/>
              </w:rPr>
              <w:t>ETFs</w:t>
            </w:r>
            <w:proofErr w:type="spellEnd"/>
            <w:r w:rsidRPr="00C63C95">
              <w:rPr>
                <w:rFonts w:asciiTheme="majorHAnsi" w:eastAsia="DM Sans" w:hAnsiTheme="majorHAnsi" w:cstheme="majorHAnsi"/>
                <w:lang w:val="el-GR"/>
              </w:rPr>
              <w:t>)</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Δωρεάν (ενδέχεται να ισχύουν χρεώσεις διαχειριστή κεφαλαίων)</w:t>
            </w:r>
          </w:p>
        </w:tc>
      </w:tr>
      <w:tr w:rsidR="00A64715" w:rsidRPr="00C63C95">
        <w:tc>
          <w:tcPr>
            <w:tcW w:w="4253" w:type="dxa"/>
          </w:tcPr>
          <w:p w:rsidR="00A64715" w:rsidRPr="00C63C95" w:rsidRDefault="00C55FCF">
            <w:pPr>
              <w:jc w:val="both"/>
              <w:rPr>
                <w:rFonts w:asciiTheme="majorHAnsi" w:eastAsia="DM Sans" w:hAnsiTheme="majorHAnsi" w:cstheme="majorHAnsi"/>
                <w:lang w:val="el-GR"/>
              </w:rPr>
            </w:pPr>
            <w:r w:rsidRPr="00C63C95">
              <w:rPr>
                <w:rFonts w:asciiTheme="majorHAnsi" w:eastAsia="Cambria" w:hAnsiTheme="majorHAnsi" w:cstheme="majorHAnsi"/>
                <w:lang w:val="el-GR"/>
              </w:rPr>
              <w:t>Μετοχές</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δια</w:t>
            </w:r>
            <w:r w:rsidRPr="00C63C95">
              <w:rPr>
                <w:rFonts w:asciiTheme="majorHAnsi" w:eastAsia="DM Sans" w:hAnsiTheme="majorHAnsi" w:cstheme="majorHAnsi"/>
                <w:lang w:val="el-GR"/>
              </w:rPr>
              <w:t>π</w:t>
            </w:r>
            <w:r w:rsidRPr="00C63C95">
              <w:rPr>
                <w:rFonts w:asciiTheme="majorHAnsi" w:eastAsia="Cambria" w:hAnsiTheme="majorHAnsi" w:cstheme="majorHAnsi"/>
                <w:lang w:val="el-GR"/>
              </w:rPr>
              <w:t>ραγματεύσιμες</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στις</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ΗΠΑ</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σε</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δολάρια</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ΗΠΑ</w:t>
            </w:r>
            <w:r w:rsidRPr="00C63C95">
              <w:rPr>
                <w:rFonts w:asciiTheme="majorHAnsi" w:eastAsia="DM Sans" w:hAnsiTheme="majorHAnsi" w:cstheme="majorHAnsi"/>
                <w:lang w:val="el-GR"/>
              </w:rPr>
              <w:t>)</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0.1%, ελάχιστο $0.10, μέγιστο  $1 ανά εντολή</w:t>
            </w:r>
          </w:p>
        </w:tc>
      </w:tr>
      <w:tr w:rsidR="00A64715" w:rsidRPr="00C63C95">
        <w:tc>
          <w:tcPr>
            <w:tcW w:w="4253" w:type="dxa"/>
          </w:tcPr>
          <w:p w:rsidR="00A64715" w:rsidRPr="00C63C95" w:rsidRDefault="00C55FCF">
            <w:pPr>
              <w:jc w:val="both"/>
              <w:rPr>
                <w:rFonts w:asciiTheme="majorHAnsi" w:eastAsia="DM Sans" w:hAnsiTheme="majorHAnsi" w:cstheme="majorHAnsi"/>
                <w:lang w:val="el-GR"/>
              </w:rPr>
            </w:pPr>
            <w:r w:rsidRPr="00C63C95">
              <w:rPr>
                <w:rFonts w:asciiTheme="majorHAnsi" w:eastAsia="Cambria" w:hAnsiTheme="majorHAnsi" w:cstheme="majorHAnsi"/>
                <w:lang w:val="el-GR"/>
              </w:rPr>
              <w:t>Μετοχές</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δια</w:t>
            </w:r>
            <w:r w:rsidRPr="00C63C95">
              <w:rPr>
                <w:rFonts w:asciiTheme="majorHAnsi" w:eastAsia="DM Sans" w:hAnsiTheme="majorHAnsi" w:cstheme="majorHAnsi"/>
                <w:lang w:val="el-GR"/>
              </w:rPr>
              <w:t>π</w:t>
            </w:r>
            <w:r w:rsidRPr="00C63C95">
              <w:rPr>
                <w:rFonts w:asciiTheme="majorHAnsi" w:eastAsia="Cambria" w:hAnsiTheme="majorHAnsi" w:cstheme="majorHAnsi"/>
                <w:lang w:val="el-GR"/>
              </w:rPr>
              <w:t>ραγματεύσιμες</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στην</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ΕΕ</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σε</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ΕΥΡΩ</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1€ ανά εντολή </w:t>
            </w:r>
          </w:p>
        </w:tc>
      </w:tr>
      <w:tr w:rsidR="00A64715" w:rsidRPr="00C63C95">
        <w:tc>
          <w:tcPr>
            <w:tcW w:w="4253" w:type="dxa"/>
          </w:tcPr>
          <w:p w:rsidR="00A64715" w:rsidRPr="00C63C95" w:rsidRDefault="00D001EA">
            <w:pPr>
              <w:jc w:val="both"/>
              <w:rPr>
                <w:rFonts w:asciiTheme="majorHAnsi" w:eastAsia="DM Sans" w:hAnsiTheme="majorHAnsi" w:cstheme="majorHAnsi"/>
                <w:lang w:val="el-GR"/>
              </w:rPr>
            </w:pPr>
            <w:r>
              <w:rPr>
                <w:rFonts w:asciiTheme="majorHAnsi" w:eastAsia="DM Sans" w:hAnsiTheme="majorHAnsi" w:cstheme="majorHAnsi"/>
                <w:lang w:val="el-GR"/>
              </w:rPr>
              <w:t>Μετοχές  διαπραγματεύσιμες σε Σ</w:t>
            </w:r>
            <w:bookmarkStart w:id="1" w:name="_GoBack"/>
            <w:bookmarkEnd w:id="1"/>
            <w:r w:rsidR="00C55FCF" w:rsidRPr="00C63C95">
              <w:rPr>
                <w:rFonts w:asciiTheme="majorHAnsi" w:eastAsia="DM Sans" w:hAnsiTheme="majorHAnsi" w:cstheme="majorHAnsi"/>
                <w:lang w:val="el-GR"/>
              </w:rPr>
              <w:t xml:space="preserve">τερλίνες </w:t>
            </w:r>
          </w:p>
        </w:tc>
        <w:tc>
          <w:tcPr>
            <w:tcW w:w="4253" w:type="dxa"/>
          </w:tcPr>
          <w:p w:rsidR="00A64715" w:rsidRPr="00C63C95" w:rsidRDefault="00C63C95">
            <w:pPr>
              <w:widowControl w:val="0"/>
              <w:rPr>
                <w:rFonts w:asciiTheme="majorHAnsi" w:eastAsia="DM Sans" w:hAnsiTheme="majorHAnsi" w:cstheme="majorHAnsi"/>
                <w:lang w:val="el-GR"/>
              </w:rPr>
            </w:pPr>
            <w:r w:rsidRPr="00C63C95">
              <w:rPr>
                <w:rFonts w:asciiTheme="majorHAnsi" w:eastAsia="DM Sans" w:hAnsiTheme="majorHAnsi" w:cstheme="majorHAnsi"/>
                <w:lang w:val="el-GR"/>
              </w:rPr>
              <w:t xml:space="preserve">1£ ανά εντολή </w:t>
            </w:r>
          </w:p>
        </w:tc>
      </w:tr>
      <w:tr w:rsidR="00A64715" w:rsidRPr="00C63C95">
        <w:trPr>
          <w:trHeight w:val="256"/>
        </w:trPr>
        <w:tc>
          <w:tcPr>
            <w:tcW w:w="4253" w:type="dxa"/>
          </w:tcPr>
          <w:p w:rsidR="00A64715" w:rsidRPr="00C63C95" w:rsidRDefault="00C55FCF" w:rsidP="00C55FCF">
            <w:pPr>
              <w:pStyle w:val="NormalWeb"/>
              <w:rPr>
                <w:rFonts w:asciiTheme="majorHAnsi" w:hAnsiTheme="majorHAnsi" w:cstheme="majorHAnsi"/>
                <w:sz w:val="20"/>
                <w:szCs w:val="20"/>
                <w:lang w:val="el-GR"/>
              </w:rPr>
            </w:pPr>
            <w:r w:rsidRPr="00C63C95">
              <w:rPr>
                <w:rFonts w:asciiTheme="majorHAnsi" w:hAnsiTheme="majorHAnsi" w:cstheme="majorHAnsi"/>
                <w:sz w:val="20"/>
                <w:szCs w:val="20"/>
                <w:lang w:val="el-GR"/>
              </w:rPr>
              <w:t>Προϊόντα διαπραγματεύσιμα σε χρηματιστήρια της ΕΕ (ETP)</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1€ ανά εντολή </w:t>
            </w:r>
          </w:p>
        </w:tc>
      </w:tr>
      <w:tr w:rsidR="00A64715" w:rsidRPr="00C63C95">
        <w:trPr>
          <w:trHeight w:val="256"/>
        </w:trPr>
        <w:tc>
          <w:tcPr>
            <w:tcW w:w="4253" w:type="dxa"/>
          </w:tcPr>
          <w:p w:rsidR="00A64715" w:rsidRPr="00C63C95" w:rsidRDefault="00C55FCF">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Ομόλογα </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1€ ανά εντολή </w:t>
            </w:r>
          </w:p>
        </w:tc>
      </w:tr>
      <w:tr w:rsidR="00A64715" w:rsidRPr="006859CF">
        <w:trPr>
          <w:trHeight w:val="256"/>
        </w:trPr>
        <w:tc>
          <w:tcPr>
            <w:tcW w:w="4253" w:type="dxa"/>
          </w:tcPr>
          <w:p w:rsidR="00A64715" w:rsidRPr="00F443EB" w:rsidRDefault="00C55FCF" w:rsidP="00F443EB">
            <w:pPr>
              <w:pStyle w:val="NormalWeb"/>
              <w:rPr>
                <w:rFonts w:asciiTheme="majorHAnsi" w:hAnsiTheme="majorHAnsi" w:cstheme="majorHAnsi"/>
                <w:sz w:val="20"/>
                <w:szCs w:val="20"/>
                <w:lang w:val="el-GR"/>
              </w:rPr>
            </w:pPr>
            <w:r w:rsidRPr="00C63C95">
              <w:rPr>
                <w:rFonts w:asciiTheme="majorHAnsi" w:hAnsiTheme="majorHAnsi" w:cstheme="majorHAnsi"/>
                <w:sz w:val="20"/>
                <w:szCs w:val="20"/>
                <w:lang w:val="el-GR"/>
              </w:rPr>
              <w:t>Αμοιβαία κεφάλαια χρηματαγοράς (Ευρώ και Στερλίνα)</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Δωρεάν (εξακολουθεί να ισχύει η αμοιβή διαχείρισης της </w:t>
            </w:r>
            <w:proofErr w:type="spellStart"/>
            <w:r w:rsidRPr="00C63C95">
              <w:rPr>
                <w:rFonts w:asciiTheme="majorHAnsi" w:eastAsia="DM Sans" w:hAnsiTheme="majorHAnsi" w:cstheme="majorHAnsi"/>
                <w:lang w:val="el-GR"/>
              </w:rPr>
              <w:t>BlackRock</w:t>
            </w:r>
            <w:proofErr w:type="spellEnd"/>
            <w:r w:rsidRPr="00C63C95">
              <w:rPr>
                <w:rFonts w:asciiTheme="majorHAnsi" w:eastAsia="DM Sans" w:hAnsiTheme="majorHAnsi" w:cstheme="majorHAnsi"/>
                <w:lang w:val="el-GR"/>
              </w:rPr>
              <w:t xml:space="preserve"> ύψους 0,1%)</w:t>
            </w:r>
          </w:p>
        </w:tc>
      </w:tr>
      <w:tr w:rsidR="00A64715" w:rsidRPr="006859CF">
        <w:trPr>
          <w:trHeight w:val="256"/>
        </w:trPr>
        <w:tc>
          <w:tcPr>
            <w:tcW w:w="4253" w:type="dxa"/>
          </w:tcPr>
          <w:p w:rsidR="00A64715" w:rsidRPr="00C63C95" w:rsidRDefault="00A20F9C" w:rsidP="00A20F9C">
            <w:pPr>
              <w:pStyle w:val="NormalWeb"/>
              <w:rPr>
                <w:rFonts w:asciiTheme="majorHAnsi" w:hAnsiTheme="majorHAnsi" w:cstheme="majorHAnsi"/>
                <w:sz w:val="20"/>
                <w:szCs w:val="20"/>
                <w:lang w:val="el-GR"/>
              </w:rPr>
            </w:pPr>
            <w:r w:rsidRPr="00C63C95">
              <w:rPr>
                <w:rFonts w:asciiTheme="majorHAnsi" w:hAnsiTheme="majorHAnsi" w:cstheme="majorHAnsi"/>
                <w:sz w:val="20"/>
                <w:szCs w:val="20"/>
                <w:lang w:val="el-GR"/>
              </w:rPr>
              <w:t>Αμοιβαίο κεφάλαιο χρηματαγοράς (Δολάρια ΗΠΑ)</w:t>
            </w:r>
          </w:p>
        </w:tc>
        <w:tc>
          <w:tcPr>
            <w:tcW w:w="4253" w:type="dxa"/>
          </w:tcPr>
          <w:p w:rsidR="00A64715" w:rsidRPr="00C63C95" w:rsidRDefault="00C63C95">
            <w:pPr>
              <w:rPr>
                <w:rFonts w:asciiTheme="majorHAnsi" w:eastAsia="DM Sans" w:hAnsiTheme="majorHAnsi" w:cstheme="majorHAnsi"/>
                <w:lang w:val="el-GR"/>
              </w:rPr>
            </w:pPr>
            <w:r w:rsidRPr="00C63C95">
              <w:rPr>
                <w:rFonts w:asciiTheme="majorHAnsi" w:eastAsia="DM Sans" w:hAnsiTheme="majorHAnsi" w:cstheme="majorHAnsi"/>
                <w:lang w:val="el-GR"/>
              </w:rPr>
              <w:t xml:space="preserve">0,25% ετησίως (από τις μηνιαίες διανομές, συμπεριλαμβανομένης της αμοιβής διαχείρισης της </w:t>
            </w:r>
            <w:proofErr w:type="spellStart"/>
            <w:r w:rsidRPr="00C63C95">
              <w:rPr>
                <w:rFonts w:asciiTheme="majorHAnsi" w:eastAsia="DM Sans" w:hAnsiTheme="majorHAnsi" w:cstheme="majorHAnsi"/>
                <w:lang w:val="el-GR"/>
              </w:rPr>
              <w:t>BlackRock</w:t>
            </w:r>
            <w:proofErr w:type="spellEnd"/>
            <w:r w:rsidRPr="00C63C95">
              <w:rPr>
                <w:rFonts w:asciiTheme="majorHAnsi" w:eastAsia="DM Sans" w:hAnsiTheme="majorHAnsi" w:cstheme="majorHAnsi"/>
                <w:lang w:val="el-GR"/>
              </w:rPr>
              <w:t xml:space="preserve"> και της αμοιβής μας)</w:t>
            </w:r>
          </w:p>
        </w:tc>
      </w:tr>
      <w:tr w:rsidR="00A64715" w:rsidRPr="00C63C95">
        <w:tc>
          <w:tcPr>
            <w:tcW w:w="8506" w:type="dxa"/>
            <w:gridSpan w:val="2"/>
          </w:tcPr>
          <w:p w:rsidR="00A64715" w:rsidRPr="00C63C95" w:rsidRDefault="00A20F9C">
            <w:pPr>
              <w:jc w:val="both"/>
              <w:rPr>
                <w:rFonts w:asciiTheme="majorHAnsi" w:eastAsia="DM Sans" w:hAnsiTheme="majorHAnsi" w:cstheme="majorHAnsi"/>
                <w:b/>
                <w:lang w:val="el-GR"/>
              </w:rPr>
            </w:pPr>
            <w:r w:rsidRPr="00C63C95">
              <w:rPr>
                <w:rFonts w:asciiTheme="majorHAnsi" w:eastAsia="DM Sans" w:hAnsiTheme="majorHAnsi" w:cstheme="majorHAnsi"/>
                <w:b/>
                <w:lang w:val="el-GR"/>
              </w:rPr>
              <w:t xml:space="preserve">Τέλη Λογαριασμού </w:t>
            </w:r>
          </w:p>
        </w:tc>
      </w:tr>
      <w:tr w:rsidR="00A64715" w:rsidRPr="00C63C95">
        <w:tc>
          <w:tcPr>
            <w:tcW w:w="4253" w:type="dxa"/>
          </w:tcPr>
          <w:p w:rsidR="00A64715" w:rsidRPr="00C63C95" w:rsidRDefault="00A20F9C" w:rsidP="00A20F9C">
            <w:pPr>
              <w:pStyle w:val="NormalWeb"/>
              <w:rPr>
                <w:rFonts w:asciiTheme="majorHAnsi" w:hAnsiTheme="majorHAnsi" w:cstheme="majorHAnsi"/>
                <w:sz w:val="20"/>
                <w:szCs w:val="20"/>
                <w:lang w:val="el-GR"/>
              </w:rPr>
            </w:pPr>
            <w:r w:rsidRPr="00C63C95">
              <w:rPr>
                <w:rFonts w:asciiTheme="majorHAnsi" w:hAnsiTheme="majorHAnsi" w:cstheme="majorHAnsi"/>
                <w:sz w:val="20"/>
                <w:szCs w:val="20"/>
                <w:lang w:val="el-GR"/>
              </w:rPr>
              <w:t>Άνοιγμα λογαριασμού πολλαπλών νομισμάτων</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Δωρεάν </w:t>
            </w:r>
          </w:p>
        </w:tc>
      </w:tr>
      <w:tr w:rsidR="00A64715" w:rsidRPr="00C63C95">
        <w:tc>
          <w:tcPr>
            <w:tcW w:w="4253" w:type="dxa"/>
          </w:tcPr>
          <w:p w:rsidR="00A64715" w:rsidRPr="00C63C95" w:rsidRDefault="00A20F9C">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Φύλαξη Τίτλων </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Δωρεάν</w:t>
            </w:r>
          </w:p>
        </w:tc>
      </w:tr>
      <w:tr w:rsidR="00A64715" w:rsidRPr="00C63C95">
        <w:tc>
          <w:tcPr>
            <w:tcW w:w="4253" w:type="dxa"/>
          </w:tcPr>
          <w:p w:rsidR="00A64715" w:rsidRPr="00C63C95" w:rsidRDefault="00A20F9C">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 W8-BEN (</w:t>
            </w:r>
            <w:r w:rsidRPr="00C63C95">
              <w:rPr>
                <w:rFonts w:asciiTheme="majorHAnsi" w:eastAsia="Cambria" w:hAnsiTheme="majorHAnsi" w:cstheme="majorHAnsi"/>
                <w:lang w:val="el-GR"/>
              </w:rPr>
              <w:t>φορολογικό</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έντυ</w:t>
            </w:r>
            <w:r w:rsidRPr="00C63C95">
              <w:rPr>
                <w:rFonts w:asciiTheme="majorHAnsi" w:eastAsia="DM Sans" w:hAnsiTheme="majorHAnsi" w:cstheme="majorHAnsi"/>
                <w:lang w:val="el-GR"/>
              </w:rPr>
              <w:t>π</w:t>
            </w:r>
            <w:r w:rsidRPr="00C63C95">
              <w:rPr>
                <w:rFonts w:asciiTheme="majorHAnsi" w:eastAsia="Cambria" w:hAnsiTheme="majorHAnsi" w:cstheme="majorHAnsi"/>
                <w:lang w:val="el-GR"/>
              </w:rPr>
              <w:t>ο</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υ</w:t>
            </w:r>
            <w:r w:rsidRPr="00C63C95">
              <w:rPr>
                <w:rFonts w:asciiTheme="majorHAnsi" w:eastAsia="DM Sans" w:hAnsiTheme="majorHAnsi" w:cstheme="majorHAnsi"/>
                <w:lang w:val="el-GR"/>
              </w:rPr>
              <w:t>π</w:t>
            </w:r>
            <w:r w:rsidRPr="00C63C95">
              <w:rPr>
                <w:rFonts w:asciiTheme="majorHAnsi" w:eastAsia="Cambria" w:hAnsiTheme="majorHAnsi" w:cstheme="majorHAnsi"/>
                <w:lang w:val="el-GR"/>
              </w:rPr>
              <w:t>οβολής</w:t>
            </w:r>
            <w:r w:rsidRPr="00C63C95">
              <w:rPr>
                <w:rFonts w:asciiTheme="majorHAnsi" w:eastAsia="DM Sans" w:hAnsiTheme="majorHAnsi" w:cstheme="majorHAnsi"/>
                <w:lang w:val="el-GR"/>
              </w:rPr>
              <w:t xml:space="preserve"> </w:t>
            </w:r>
            <w:r w:rsidRPr="00C63C95">
              <w:rPr>
                <w:rFonts w:asciiTheme="majorHAnsi" w:eastAsia="Cambria" w:hAnsiTheme="majorHAnsi" w:cstheme="majorHAnsi"/>
                <w:lang w:val="el-GR"/>
              </w:rPr>
              <w:t>ΗΠΑ</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Δωρεάν </w:t>
            </w:r>
          </w:p>
        </w:tc>
      </w:tr>
      <w:tr w:rsidR="00A64715" w:rsidRPr="00C63C95">
        <w:tc>
          <w:tcPr>
            <w:tcW w:w="8506" w:type="dxa"/>
            <w:gridSpan w:val="2"/>
          </w:tcPr>
          <w:p w:rsidR="00A64715" w:rsidRPr="00C63C95" w:rsidRDefault="00A20F9C">
            <w:pPr>
              <w:jc w:val="both"/>
              <w:rPr>
                <w:rFonts w:asciiTheme="majorHAnsi" w:eastAsia="DM Sans" w:hAnsiTheme="majorHAnsi" w:cstheme="majorHAnsi"/>
                <w:b/>
                <w:lang w:val="el-GR"/>
              </w:rPr>
            </w:pPr>
            <w:r w:rsidRPr="00C63C95">
              <w:rPr>
                <w:rFonts w:asciiTheme="majorHAnsi" w:eastAsia="DM Sans" w:hAnsiTheme="majorHAnsi" w:cstheme="majorHAnsi"/>
                <w:b/>
                <w:lang w:val="el-GR"/>
              </w:rPr>
              <w:t xml:space="preserve">Τέλη Μεταφοράς </w:t>
            </w:r>
          </w:p>
        </w:tc>
      </w:tr>
      <w:tr w:rsidR="00A64715" w:rsidRPr="00C63C95">
        <w:tc>
          <w:tcPr>
            <w:tcW w:w="4253" w:type="dxa"/>
          </w:tcPr>
          <w:p w:rsidR="00A64715" w:rsidRPr="00C63C95" w:rsidRDefault="00A20F9C" w:rsidP="00A20F9C">
            <w:pPr>
              <w:pStyle w:val="NormalWeb"/>
              <w:rPr>
                <w:rFonts w:asciiTheme="majorHAnsi" w:hAnsiTheme="majorHAnsi" w:cstheme="majorHAnsi"/>
                <w:sz w:val="20"/>
                <w:szCs w:val="20"/>
                <w:lang w:val="el-GR"/>
              </w:rPr>
            </w:pPr>
            <w:r w:rsidRPr="00C63C95">
              <w:rPr>
                <w:rFonts w:asciiTheme="majorHAnsi" w:hAnsiTheme="majorHAnsi" w:cstheme="majorHAnsi"/>
                <w:sz w:val="20"/>
                <w:szCs w:val="20"/>
                <w:lang w:val="el-GR"/>
              </w:rPr>
              <w:t xml:space="preserve"> Τραπεζική μεταφορά (μεταφορά κεφαλαίων από τοπικό τραπεζικό λογαριασμό)</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Δωρεάν</w:t>
            </w:r>
          </w:p>
        </w:tc>
      </w:tr>
      <w:tr w:rsidR="00A64715" w:rsidRPr="00C63C95">
        <w:tc>
          <w:tcPr>
            <w:tcW w:w="4253" w:type="dxa"/>
          </w:tcPr>
          <w:p w:rsidR="00A64715" w:rsidRPr="00C63C95" w:rsidRDefault="00A20F9C" w:rsidP="00A20F9C">
            <w:pPr>
              <w:spacing w:before="100" w:beforeAutospacing="1" w:after="100" w:afterAutospacing="1"/>
              <w:rPr>
                <w:rFonts w:asciiTheme="majorHAnsi" w:eastAsia="Times New Roman" w:hAnsiTheme="majorHAnsi" w:cstheme="majorHAnsi"/>
                <w:lang w:val="el-GR"/>
              </w:rPr>
            </w:pPr>
            <w:r w:rsidRPr="00A20F9C">
              <w:rPr>
                <w:rFonts w:asciiTheme="majorHAnsi" w:eastAsia="Times New Roman" w:hAnsiTheme="majorHAnsi" w:cstheme="majorHAnsi"/>
                <w:lang w:val="el-GR"/>
              </w:rPr>
              <w:t>(Μεταφορά κεφαλαίων σε τοπικό τραπεζικό λογαριασμό)</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Δωρεάν</w:t>
            </w:r>
          </w:p>
        </w:tc>
      </w:tr>
      <w:tr w:rsidR="00A64715" w:rsidRPr="00C63C95">
        <w:tc>
          <w:tcPr>
            <w:tcW w:w="4253" w:type="dxa"/>
          </w:tcPr>
          <w:p w:rsidR="00A64715" w:rsidRPr="00C63C95" w:rsidRDefault="00A20F9C">
            <w:pPr>
              <w:jc w:val="both"/>
              <w:rPr>
                <w:rFonts w:asciiTheme="majorHAnsi" w:eastAsia="DM Sans" w:hAnsiTheme="majorHAnsi" w:cstheme="majorHAnsi"/>
                <w:lang w:val="el-GR"/>
              </w:rPr>
            </w:pPr>
            <w:r w:rsidRPr="00C63C95">
              <w:rPr>
                <w:rFonts w:asciiTheme="majorHAnsi" w:eastAsia="DM Sans" w:hAnsiTheme="majorHAnsi" w:cstheme="majorHAnsi"/>
                <w:lang w:val="el-GR"/>
              </w:rPr>
              <w:t>Λήψη ηλεκτρονικής πληρωμής σε δολάρια ΗΠΑ</w:t>
            </w:r>
          </w:p>
          <w:p w:rsidR="00A64715" w:rsidRPr="00C63C95" w:rsidRDefault="00A20F9C">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(Καθορισμένο τέλος </w:t>
            </w:r>
            <w:r w:rsidR="00C63C95" w:rsidRPr="00C63C95">
              <w:rPr>
                <w:rFonts w:asciiTheme="majorHAnsi" w:eastAsia="DM Sans" w:hAnsiTheme="majorHAnsi" w:cstheme="majorHAnsi"/>
                <w:lang w:val="el-GR"/>
              </w:rPr>
              <w:t>ανά</w:t>
            </w:r>
            <w:r w:rsidRPr="00C63C95">
              <w:rPr>
                <w:rFonts w:asciiTheme="majorHAnsi" w:eastAsia="DM Sans" w:hAnsiTheme="majorHAnsi" w:cstheme="majorHAnsi"/>
                <w:lang w:val="el-GR"/>
              </w:rPr>
              <w:t xml:space="preserve"> πληρωμή </w:t>
            </w:r>
            <w:r w:rsidR="00EF541D" w:rsidRPr="00C63C95">
              <w:rPr>
                <w:rFonts w:asciiTheme="majorHAnsi" w:eastAsia="DM Sans" w:hAnsiTheme="majorHAnsi" w:cstheme="majorHAnsi"/>
                <w:lang w:val="el-GR"/>
              </w:rPr>
              <w:t>)</w:t>
            </w:r>
          </w:p>
        </w:tc>
        <w:tc>
          <w:tcPr>
            <w:tcW w:w="4253" w:type="dxa"/>
          </w:tcPr>
          <w:p w:rsidR="00A64715" w:rsidRPr="00C63C95" w:rsidRDefault="00EF541D">
            <w:pPr>
              <w:rPr>
                <w:rFonts w:asciiTheme="majorHAnsi" w:eastAsia="DM Sans" w:hAnsiTheme="majorHAnsi" w:cstheme="majorHAnsi"/>
                <w:lang w:val="el-GR"/>
              </w:rPr>
            </w:pPr>
            <w:r w:rsidRPr="00C63C95">
              <w:rPr>
                <w:rFonts w:asciiTheme="majorHAnsi" w:eastAsia="DM Sans" w:hAnsiTheme="majorHAnsi" w:cstheme="majorHAnsi"/>
                <w:lang w:val="el-GR"/>
              </w:rPr>
              <w:t>$6,11</w:t>
            </w:r>
          </w:p>
        </w:tc>
      </w:tr>
      <w:tr w:rsidR="00A64715" w:rsidRPr="00C63C95">
        <w:tc>
          <w:tcPr>
            <w:tcW w:w="4253" w:type="dxa"/>
          </w:tcPr>
          <w:p w:rsidR="00A20F9C" w:rsidRPr="00A20F9C" w:rsidRDefault="00A20F9C" w:rsidP="00A20F9C">
            <w:pPr>
              <w:spacing w:before="100" w:beforeAutospacing="1" w:after="100" w:afterAutospacing="1"/>
              <w:rPr>
                <w:rFonts w:asciiTheme="majorHAnsi" w:eastAsia="Times New Roman" w:hAnsiTheme="majorHAnsi" w:cstheme="majorHAnsi"/>
                <w:lang w:val="el-GR"/>
              </w:rPr>
            </w:pPr>
            <w:r w:rsidRPr="00A20F9C">
              <w:rPr>
                <w:rFonts w:asciiTheme="majorHAnsi" w:eastAsia="Times New Roman" w:hAnsiTheme="majorHAnsi" w:cstheme="majorHAnsi"/>
                <w:lang w:val="el-GR"/>
              </w:rPr>
              <w:t xml:space="preserve">Κατάθεση μέσω κάρτας (Γρήγορες καταθέσεις με χρεωστική κάρτα, </w:t>
            </w:r>
            <w:proofErr w:type="spellStart"/>
            <w:r w:rsidRPr="00A20F9C">
              <w:rPr>
                <w:rFonts w:asciiTheme="majorHAnsi" w:eastAsia="Times New Roman" w:hAnsiTheme="majorHAnsi" w:cstheme="majorHAnsi"/>
                <w:lang w:val="el-GR"/>
              </w:rPr>
              <w:t>Apple</w:t>
            </w:r>
            <w:proofErr w:type="spellEnd"/>
            <w:r w:rsidRPr="00A20F9C">
              <w:rPr>
                <w:rFonts w:asciiTheme="majorHAnsi" w:eastAsia="Times New Roman" w:hAnsiTheme="majorHAnsi" w:cstheme="majorHAnsi"/>
                <w:lang w:val="el-GR"/>
              </w:rPr>
              <w:t xml:space="preserve"> </w:t>
            </w:r>
            <w:proofErr w:type="spellStart"/>
            <w:r w:rsidRPr="00A20F9C">
              <w:rPr>
                <w:rFonts w:asciiTheme="majorHAnsi" w:eastAsia="Times New Roman" w:hAnsiTheme="majorHAnsi" w:cstheme="majorHAnsi"/>
                <w:lang w:val="el-GR"/>
              </w:rPr>
              <w:t>Pay</w:t>
            </w:r>
            <w:proofErr w:type="spellEnd"/>
            <w:r w:rsidRPr="00A20F9C">
              <w:rPr>
                <w:rFonts w:asciiTheme="majorHAnsi" w:eastAsia="Times New Roman" w:hAnsiTheme="majorHAnsi" w:cstheme="majorHAnsi"/>
                <w:lang w:val="el-GR"/>
              </w:rPr>
              <w:t xml:space="preserve"> ή </w:t>
            </w:r>
            <w:proofErr w:type="spellStart"/>
            <w:r w:rsidRPr="00A20F9C">
              <w:rPr>
                <w:rFonts w:asciiTheme="majorHAnsi" w:eastAsia="Times New Roman" w:hAnsiTheme="majorHAnsi" w:cstheme="majorHAnsi"/>
                <w:lang w:val="el-GR"/>
              </w:rPr>
              <w:t>Google</w:t>
            </w:r>
            <w:proofErr w:type="spellEnd"/>
            <w:r w:rsidRPr="00A20F9C">
              <w:rPr>
                <w:rFonts w:asciiTheme="majorHAnsi" w:eastAsia="Times New Roman" w:hAnsiTheme="majorHAnsi" w:cstheme="majorHAnsi"/>
                <w:lang w:val="el-GR"/>
              </w:rPr>
              <w:t xml:space="preserve"> </w:t>
            </w:r>
            <w:proofErr w:type="spellStart"/>
            <w:r w:rsidRPr="00A20F9C">
              <w:rPr>
                <w:rFonts w:asciiTheme="majorHAnsi" w:eastAsia="Times New Roman" w:hAnsiTheme="majorHAnsi" w:cstheme="majorHAnsi"/>
                <w:lang w:val="el-GR"/>
              </w:rPr>
              <w:t>Pay</w:t>
            </w:r>
            <w:proofErr w:type="spellEnd"/>
            <w:r w:rsidRPr="00A20F9C">
              <w:rPr>
                <w:rFonts w:asciiTheme="majorHAnsi" w:eastAsia="Times New Roman" w:hAnsiTheme="majorHAnsi" w:cstheme="majorHAnsi"/>
                <w:lang w:val="el-GR"/>
              </w:rPr>
              <w:t>)</w:t>
            </w:r>
          </w:p>
          <w:p w:rsidR="00A64715" w:rsidRPr="00C63C95" w:rsidRDefault="00A64715">
            <w:pPr>
              <w:jc w:val="both"/>
              <w:rPr>
                <w:rFonts w:asciiTheme="majorHAnsi" w:eastAsia="DM Sans" w:hAnsiTheme="majorHAnsi" w:cstheme="majorHAnsi"/>
                <w:lang w:val="el-GR"/>
              </w:rPr>
            </w:pPr>
          </w:p>
        </w:tc>
        <w:tc>
          <w:tcPr>
            <w:tcW w:w="4253" w:type="dxa"/>
          </w:tcPr>
          <w:p w:rsidR="00A64715" w:rsidRPr="00C63C95" w:rsidRDefault="00EF541D">
            <w:pPr>
              <w:jc w:val="both"/>
              <w:rPr>
                <w:rFonts w:asciiTheme="majorHAnsi" w:eastAsia="DM Sans" w:hAnsiTheme="majorHAnsi" w:cstheme="majorHAnsi"/>
                <w:lang w:val="el-GR"/>
              </w:rPr>
            </w:pPr>
            <w:r w:rsidRPr="00C63C95">
              <w:rPr>
                <w:rFonts w:asciiTheme="majorHAnsi" w:eastAsia="DM Sans" w:hAnsiTheme="majorHAnsi" w:cstheme="majorHAnsi"/>
                <w:lang w:val="el-GR"/>
              </w:rPr>
              <w:t>0.6%</w:t>
            </w:r>
          </w:p>
        </w:tc>
      </w:tr>
      <w:tr w:rsidR="00A64715" w:rsidRPr="00C63C95">
        <w:trPr>
          <w:trHeight w:val="140"/>
        </w:trPr>
        <w:tc>
          <w:tcPr>
            <w:tcW w:w="4253" w:type="dxa"/>
          </w:tcPr>
          <w:p w:rsidR="00A64715" w:rsidRPr="00C63C95" w:rsidRDefault="00A20F9C" w:rsidP="00A20F9C">
            <w:pPr>
              <w:spacing w:before="100" w:beforeAutospacing="1" w:after="100" w:afterAutospacing="1"/>
              <w:rPr>
                <w:rFonts w:asciiTheme="majorHAnsi" w:eastAsia="Times New Roman" w:hAnsiTheme="majorHAnsi" w:cstheme="majorHAnsi"/>
                <w:lang w:val="el-GR"/>
              </w:rPr>
            </w:pPr>
            <w:r w:rsidRPr="00A20F9C">
              <w:rPr>
                <w:rFonts w:asciiTheme="majorHAnsi" w:eastAsia="Times New Roman" w:hAnsiTheme="majorHAnsi" w:cstheme="majorHAnsi"/>
                <w:b/>
                <w:bCs/>
                <w:lang w:val="el-GR"/>
              </w:rPr>
              <w:t>Συναλλαγματικές ισοτιμίες (FX)</w:t>
            </w:r>
          </w:p>
        </w:tc>
        <w:tc>
          <w:tcPr>
            <w:tcW w:w="4253" w:type="dxa"/>
          </w:tcPr>
          <w:p w:rsidR="00A64715" w:rsidRPr="00C63C95" w:rsidRDefault="00A64715">
            <w:pPr>
              <w:jc w:val="both"/>
              <w:rPr>
                <w:rFonts w:asciiTheme="majorHAnsi" w:eastAsia="DM Sans" w:hAnsiTheme="majorHAnsi" w:cstheme="majorHAnsi"/>
                <w:highlight w:val="white"/>
                <w:lang w:val="el-GR"/>
              </w:rPr>
            </w:pPr>
          </w:p>
        </w:tc>
      </w:tr>
      <w:tr w:rsidR="00A64715" w:rsidRPr="00C63C95">
        <w:tc>
          <w:tcPr>
            <w:tcW w:w="4253" w:type="dxa"/>
          </w:tcPr>
          <w:p w:rsidR="00A64715" w:rsidRPr="00C63C95" w:rsidRDefault="00A20F9C">
            <w:pPr>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Μετατροπή νομισμάτων </w:t>
            </w:r>
          </w:p>
        </w:tc>
        <w:tc>
          <w:tcPr>
            <w:tcW w:w="4253" w:type="dxa"/>
          </w:tcPr>
          <w:p w:rsidR="00A64715" w:rsidRPr="00C63C95" w:rsidRDefault="00C63C95">
            <w:pPr>
              <w:jc w:val="both"/>
              <w:rPr>
                <w:rFonts w:asciiTheme="majorHAnsi" w:eastAsia="DM Sans" w:hAnsiTheme="majorHAnsi" w:cstheme="majorHAnsi"/>
                <w:lang w:val="el-GR"/>
              </w:rPr>
            </w:pPr>
            <w:r w:rsidRPr="00C63C95">
              <w:rPr>
                <w:rFonts w:asciiTheme="majorHAnsi" w:eastAsia="DM Sans" w:hAnsiTheme="majorHAnsi" w:cstheme="majorHAnsi"/>
                <w:lang w:val="el-GR"/>
              </w:rPr>
              <w:t>0,35% του μετατρεπόμενου νομίσματος</w:t>
            </w:r>
          </w:p>
        </w:tc>
      </w:tr>
      <w:tr w:rsidR="00A64715" w:rsidRPr="00C63C95">
        <w:tc>
          <w:tcPr>
            <w:tcW w:w="4253" w:type="dxa"/>
          </w:tcPr>
          <w:p w:rsidR="00A64715" w:rsidRPr="00C63C95" w:rsidRDefault="00F443EB">
            <w:pPr>
              <w:jc w:val="both"/>
              <w:rPr>
                <w:rFonts w:asciiTheme="majorHAnsi" w:eastAsia="DM Sans" w:hAnsiTheme="majorHAnsi" w:cstheme="majorHAnsi"/>
                <w:b/>
                <w:lang w:val="el-GR"/>
              </w:rPr>
            </w:pPr>
            <w:r>
              <w:rPr>
                <w:rFonts w:asciiTheme="majorHAnsi" w:eastAsia="DM Sans" w:hAnsiTheme="majorHAnsi" w:cstheme="majorHAnsi"/>
                <w:b/>
                <w:lang w:val="el-GR"/>
              </w:rPr>
              <w:t xml:space="preserve">Λοιποί φόροι και τέλη </w:t>
            </w:r>
          </w:p>
        </w:tc>
        <w:tc>
          <w:tcPr>
            <w:tcW w:w="4253" w:type="dxa"/>
          </w:tcPr>
          <w:p w:rsidR="00A64715" w:rsidRPr="00C63C95" w:rsidRDefault="00A64715">
            <w:pPr>
              <w:jc w:val="both"/>
              <w:rPr>
                <w:rFonts w:asciiTheme="majorHAnsi" w:eastAsia="DM Sans" w:hAnsiTheme="majorHAnsi" w:cstheme="majorHAnsi"/>
                <w:lang w:val="el-GR"/>
              </w:rPr>
            </w:pPr>
          </w:p>
        </w:tc>
      </w:tr>
      <w:tr w:rsidR="00A64715" w:rsidRPr="00C63C95">
        <w:trPr>
          <w:trHeight w:val="382"/>
        </w:trPr>
        <w:tc>
          <w:tcPr>
            <w:tcW w:w="4253" w:type="dxa"/>
          </w:tcPr>
          <w:p w:rsidR="00C63C95" w:rsidRPr="00C63C95" w:rsidRDefault="00C63C95" w:rsidP="00C63C95">
            <w:pPr>
              <w:pStyle w:val="NormalWeb"/>
              <w:rPr>
                <w:rFonts w:asciiTheme="majorHAnsi" w:hAnsiTheme="majorHAnsi" w:cstheme="majorHAnsi"/>
                <w:sz w:val="20"/>
                <w:szCs w:val="20"/>
                <w:lang w:val="el-GR"/>
              </w:rPr>
            </w:pPr>
            <w:r w:rsidRPr="00C63C95">
              <w:rPr>
                <w:rFonts w:asciiTheme="majorHAnsi" w:hAnsiTheme="majorHAnsi" w:cstheme="majorHAnsi"/>
                <w:sz w:val="20"/>
                <w:szCs w:val="20"/>
                <w:lang w:val="el-GR"/>
              </w:rPr>
              <w:t>Τέλος ΛΕΙ (Επένδυση ως επιχείρηση)</w:t>
            </w:r>
          </w:p>
          <w:p w:rsidR="00A64715" w:rsidRPr="00C63C95" w:rsidRDefault="00A64715">
            <w:pPr>
              <w:jc w:val="both"/>
              <w:rPr>
                <w:rFonts w:asciiTheme="majorHAnsi" w:eastAsia="DM Sans" w:hAnsiTheme="majorHAnsi" w:cstheme="majorHAnsi"/>
                <w:lang w:val="el-GR"/>
              </w:rPr>
            </w:pPr>
          </w:p>
        </w:tc>
        <w:tc>
          <w:tcPr>
            <w:tcW w:w="4253" w:type="dxa"/>
          </w:tcPr>
          <w:p w:rsidR="00A64715" w:rsidRPr="00C63C95" w:rsidRDefault="006859CF">
            <w:pPr>
              <w:rPr>
                <w:rFonts w:asciiTheme="majorHAnsi" w:eastAsia="DM Sans" w:hAnsiTheme="majorHAnsi" w:cstheme="majorHAnsi"/>
                <w:lang w:val="el-GR"/>
              </w:rPr>
            </w:pPr>
            <w:r>
              <w:rPr>
                <w:rFonts w:asciiTheme="majorHAnsi" w:eastAsia="DM Sans" w:hAnsiTheme="majorHAnsi" w:cstheme="majorHAnsi"/>
                <w:lang w:val="el-GR"/>
              </w:rPr>
              <w:t>€48 + ΦΠΑ</w:t>
            </w:r>
            <w:r w:rsidR="00C63C95" w:rsidRPr="00C63C95">
              <w:rPr>
                <w:rFonts w:asciiTheme="majorHAnsi" w:eastAsia="DM Sans" w:hAnsiTheme="majorHAnsi" w:cstheme="majorHAnsi"/>
                <w:lang w:val="el-GR"/>
              </w:rPr>
              <w:t xml:space="preserve"> (1 έτος </w:t>
            </w:r>
            <w:r w:rsidR="00EF541D" w:rsidRPr="00C63C95">
              <w:rPr>
                <w:rFonts w:asciiTheme="majorHAnsi" w:eastAsia="DM Sans" w:hAnsiTheme="majorHAnsi" w:cstheme="majorHAnsi"/>
                <w:lang w:val="el-GR"/>
              </w:rPr>
              <w:t>)</w:t>
            </w:r>
          </w:p>
          <w:p w:rsidR="00A64715" w:rsidRPr="00C63C95" w:rsidRDefault="00A64715">
            <w:pPr>
              <w:jc w:val="both"/>
              <w:rPr>
                <w:rFonts w:asciiTheme="majorHAnsi" w:eastAsia="DM Sans" w:hAnsiTheme="majorHAnsi" w:cstheme="majorHAnsi"/>
                <w:lang w:val="el-GR"/>
              </w:rPr>
            </w:pPr>
          </w:p>
        </w:tc>
      </w:tr>
      <w:tr w:rsidR="00A64715" w:rsidRPr="006859CF">
        <w:trPr>
          <w:trHeight w:val="484"/>
        </w:trPr>
        <w:tc>
          <w:tcPr>
            <w:tcW w:w="8506" w:type="dxa"/>
            <w:gridSpan w:val="2"/>
            <w:vMerge w:val="restart"/>
          </w:tcPr>
          <w:p w:rsidR="00A64715" w:rsidRPr="00C63C95" w:rsidRDefault="00C63C95" w:rsidP="00C63C95">
            <w:pPr>
              <w:shd w:val="clear" w:color="auto" w:fill="FFFFFF"/>
              <w:spacing w:before="240" w:after="240"/>
              <w:jc w:val="both"/>
              <w:rPr>
                <w:rFonts w:asciiTheme="majorHAnsi" w:eastAsia="DM Sans" w:hAnsiTheme="majorHAnsi" w:cstheme="majorHAnsi"/>
                <w:lang w:val="el-GR"/>
              </w:rPr>
            </w:pPr>
            <w:r w:rsidRPr="00C63C95">
              <w:rPr>
                <w:rFonts w:asciiTheme="majorHAnsi" w:eastAsia="DM Sans" w:hAnsiTheme="majorHAnsi" w:cstheme="majorHAnsi"/>
                <w:lang w:val="el-GR"/>
              </w:rPr>
              <w:t xml:space="preserve">Ορισμένοι τοπικοί φόροι, ρυθμιστικά τέλη ή τέλη τρίτων μερών — συμπεριλαμβανομένων, ενδεικτικά, των φόρων επί των χρηματοπιστωτικών συναλλαγών (FTT), των τελών χαρτοσήμου ή των εισφορών που επιβάλλονται από αποθετήρια, χρηματιστήρια ή θεματοφύλακες — ενδέχεται να ισχύουν ανάλογα με τη φύση της συναλλαγής σας, τη δικαιοδοσία του εκδότη και τη φορολογική κατοικία σας. Τα τέλη αυτά δεν καθορίζονται ούτε ελέγχονται από την </w:t>
            </w:r>
            <w:proofErr w:type="spellStart"/>
            <w:r w:rsidRPr="00C63C95">
              <w:rPr>
                <w:rFonts w:asciiTheme="majorHAnsi" w:eastAsia="DM Sans" w:hAnsiTheme="majorHAnsi" w:cstheme="majorHAnsi"/>
                <w:lang w:val="el-GR"/>
              </w:rPr>
              <w:t>Lightyear</w:t>
            </w:r>
            <w:proofErr w:type="spellEnd"/>
            <w:r w:rsidRPr="00C63C95">
              <w:rPr>
                <w:rFonts w:asciiTheme="majorHAnsi" w:eastAsia="DM Sans" w:hAnsiTheme="majorHAnsi" w:cstheme="majorHAnsi"/>
                <w:lang w:val="el-GR"/>
              </w:rPr>
              <w:t>, αλλά καθορίζονται από δημόσιες αρχές ή τρίτους φορείς.</w:t>
            </w:r>
          </w:p>
          <w:p w:rsidR="00C63C95" w:rsidRPr="00C63C95" w:rsidRDefault="00C63C95" w:rsidP="00C63C95">
            <w:pPr>
              <w:spacing w:before="100" w:beforeAutospacing="1" w:after="100" w:afterAutospacing="1"/>
              <w:rPr>
                <w:rFonts w:asciiTheme="majorHAnsi" w:eastAsia="Times New Roman" w:hAnsiTheme="majorHAnsi" w:cstheme="majorHAnsi"/>
                <w:lang w:val="el-GR"/>
              </w:rPr>
            </w:pPr>
            <w:r w:rsidRPr="00C63C95">
              <w:rPr>
                <w:rFonts w:asciiTheme="majorHAnsi" w:eastAsia="Times New Roman" w:hAnsiTheme="majorHAnsi" w:cstheme="majorHAnsi"/>
                <w:lang w:val="el-GR"/>
              </w:rPr>
              <w:t xml:space="preserve">ε περίπτωση που προκύψουν τέτοιες χρεώσεις, η </w:t>
            </w:r>
            <w:proofErr w:type="spellStart"/>
            <w:r w:rsidRPr="00C63C95">
              <w:rPr>
                <w:rFonts w:asciiTheme="majorHAnsi" w:eastAsia="Times New Roman" w:hAnsiTheme="majorHAnsi" w:cstheme="majorHAnsi"/>
                <w:lang w:val="el-GR"/>
              </w:rPr>
              <w:t>Lightyear</w:t>
            </w:r>
            <w:proofErr w:type="spellEnd"/>
            <w:r w:rsidRPr="00C63C95">
              <w:rPr>
                <w:rFonts w:asciiTheme="majorHAnsi" w:eastAsia="Times New Roman" w:hAnsiTheme="majorHAnsi" w:cstheme="majorHAnsi"/>
                <w:lang w:val="el-GR"/>
              </w:rPr>
              <w:t xml:space="preserve"> θα τις μετακυλήσει σε εσάς στο κόστος, χωρίς καμία προσαύξηση. Αυτές οι χρεώσεις ενδέχεται να ισχύουν είτε κατά τη στιγμή της </w:t>
            </w:r>
            <w:r w:rsidRPr="00C63C95">
              <w:rPr>
                <w:rFonts w:asciiTheme="majorHAnsi" w:eastAsia="Times New Roman" w:hAnsiTheme="majorHAnsi" w:cstheme="majorHAnsi"/>
                <w:lang w:val="el-GR"/>
              </w:rPr>
              <w:lastRenderedPageBreak/>
              <w:t>συναλλαγής είτε σε μεταγενέστερη ημερομηνία (π.χ. σε σχέση με την επεξεργασία μερισμάτων, σε εταιρικές ενέργειες ή υποχρεώσεις υποβολής εκθέσεων προς τις ρυθμιστικές αρχές).</w:t>
            </w:r>
          </w:p>
          <w:p w:rsidR="00C63C95" w:rsidRPr="00C63C95" w:rsidRDefault="00C63C95" w:rsidP="00C63C95">
            <w:pPr>
              <w:spacing w:before="100" w:beforeAutospacing="1" w:after="100" w:afterAutospacing="1"/>
              <w:rPr>
                <w:rFonts w:asciiTheme="majorHAnsi" w:eastAsia="Times New Roman" w:hAnsiTheme="majorHAnsi" w:cstheme="majorHAnsi"/>
                <w:lang w:val="el-GR"/>
              </w:rPr>
            </w:pPr>
            <w:r w:rsidRPr="00C63C95">
              <w:rPr>
                <w:rFonts w:asciiTheme="majorHAnsi" w:eastAsia="Times New Roman" w:hAnsiTheme="majorHAnsi" w:cstheme="majorHAnsi"/>
                <w:b/>
                <w:bCs/>
                <w:lang w:val="el-GR"/>
              </w:rPr>
              <w:t>Σημείωση</w:t>
            </w:r>
            <w:r w:rsidRPr="00C63C95">
              <w:rPr>
                <w:rFonts w:asciiTheme="majorHAnsi" w:eastAsia="Times New Roman" w:hAnsiTheme="majorHAnsi" w:cstheme="majorHAnsi"/>
                <w:lang w:val="el-GR"/>
              </w:rPr>
              <w:t xml:space="preserve">: Οι χρεώσεις και οι φορολογικοί συντελεστές ενδέχεται να αλλάξουν χωρίς προειδοποίηση και η </w:t>
            </w:r>
            <w:proofErr w:type="spellStart"/>
            <w:r w:rsidRPr="00C63C95">
              <w:rPr>
                <w:rFonts w:asciiTheme="majorHAnsi" w:eastAsia="Times New Roman" w:hAnsiTheme="majorHAnsi" w:cstheme="majorHAnsi"/>
                <w:lang w:val="el-GR"/>
              </w:rPr>
              <w:t>Lightyear</w:t>
            </w:r>
            <w:proofErr w:type="spellEnd"/>
            <w:r w:rsidRPr="00C63C95">
              <w:rPr>
                <w:rFonts w:asciiTheme="majorHAnsi" w:eastAsia="Times New Roman" w:hAnsiTheme="majorHAnsi" w:cstheme="majorHAnsi"/>
                <w:lang w:val="el-GR"/>
              </w:rPr>
              <w:t xml:space="preserve"> ενδέχεται να μην είν</w:t>
            </w:r>
            <w:r w:rsidR="00EF541D">
              <w:rPr>
                <w:rFonts w:asciiTheme="majorHAnsi" w:eastAsia="Times New Roman" w:hAnsiTheme="majorHAnsi" w:cstheme="majorHAnsi"/>
                <w:lang w:val="el-GR"/>
              </w:rPr>
              <w:t>αι πάντα σε θέση να σας ενημερών</w:t>
            </w:r>
            <w:r w:rsidRPr="00C63C95">
              <w:rPr>
                <w:rFonts w:asciiTheme="majorHAnsi" w:eastAsia="Times New Roman" w:hAnsiTheme="majorHAnsi" w:cstheme="majorHAnsi"/>
                <w:lang w:val="el-GR"/>
              </w:rPr>
              <w:t>ει εκ των προτέρων για τις αλλαγές. Για να έχετε την πιο ακριβή και ενημερωμένη εικόνα των φόρων και των χρεώσεων που ενδέχεται να ισχύουν για εσάς, σας συνιστούμε να συμβουλευτείτε την αρμόδια δημόσια αρχή ή έναν εξειδικευμένο φορολογικό σύμβουλο.</w:t>
            </w:r>
          </w:p>
          <w:p w:rsidR="00C63C95" w:rsidRPr="00C63C95" w:rsidRDefault="00C63C95" w:rsidP="00C63C95">
            <w:pPr>
              <w:spacing w:before="100" w:beforeAutospacing="1" w:after="100" w:afterAutospacing="1"/>
              <w:rPr>
                <w:rFonts w:asciiTheme="majorHAnsi" w:eastAsia="Times New Roman" w:hAnsiTheme="majorHAnsi" w:cstheme="majorHAnsi"/>
                <w:lang w:val="el-GR"/>
              </w:rPr>
            </w:pPr>
            <w:r w:rsidRPr="00C63C95">
              <w:rPr>
                <w:rFonts w:asciiTheme="majorHAnsi" w:eastAsia="Times New Roman" w:hAnsiTheme="majorHAnsi" w:cstheme="majorHAnsi"/>
                <w:lang w:val="el-GR"/>
              </w:rPr>
              <w:t>Η εισαγωγή πρόσθετων μέσων και τύπων μέσων ενδέχεται επίσης να επιφέρει άλλους σχετικούς φόρους, τέλη χαρτοσήμου και εισφορές.</w:t>
            </w:r>
          </w:p>
          <w:p w:rsidR="00C63C95" w:rsidRPr="00C63C95" w:rsidRDefault="00C63C95" w:rsidP="00C63C95">
            <w:pPr>
              <w:shd w:val="clear" w:color="auto" w:fill="FFFFFF"/>
              <w:spacing w:before="240" w:after="240"/>
              <w:jc w:val="both"/>
              <w:rPr>
                <w:rFonts w:asciiTheme="majorHAnsi" w:eastAsia="DM Sans" w:hAnsiTheme="majorHAnsi" w:cstheme="majorHAnsi"/>
                <w:lang w:val="el-GR"/>
              </w:rPr>
            </w:pPr>
          </w:p>
        </w:tc>
      </w:tr>
      <w:tr w:rsidR="00A64715" w:rsidRPr="006859CF">
        <w:trPr>
          <w:trHeight w:val="260"/>
        </w:trPr>
        <w:tc>
          <w:tcPr>
            <w:tcW w:w="8506" w:type="dxa"/>
            <w:gridSpan w:val="2"/>
            <w:vMerge/>
          </w:tcPr>
          <w:p w:rsidR="00A64715" w:rsidRPr="00C63C95" w:rsidRDefault="00A64715">
            <w:pPr>
              <w:jc w:val="both"/>
              <w:rPr>
                <w:rFonts w:asciiTheme="majorHAnsi" w:eastAsia="DM Sans" w:hAnsiTheme="majorHAnsi" w:cstheme="majorHAnsi"/>
                <w:lang w:val="el-GR"/>
              </w:rPr>
            </w:pPr>
          </w:p>
        </w:tc>
      </w:tr>
      <w:tr w:rsidR="00A64715" w:rsidRPr="006859CF">
        <w:trPr>
          <w:trHeight w:val="260"/>
        </w:trPr>
        <w:tc>
          <w:tcPr>
            <w:tcW w:w="8506" w:type="dxa"/>
            <w:gridSpan w:val="2"/>
            <w:vMerge/>
          </w:tcPr>
          <w:p w:rsidR="00A64715" w:rsidRPr="00C63C95" w:rsidRDefault="00A64715">
            <w:pPr>
              <w:jc w:val="both"/>
              <w:rPr>
                <w:rFonts w:asciiTheme="majorHAnsi" w:eastAsia="DM Sans" w:hAnsiTheme="majorHAnsi" w:cstheme="majorHAnsi"/>
                <w:lang w:val="el-GR"/>
              </w:rPr>
            </w:pPr>
          </w:p>
        </w:tc>
      </w:tr>
      <w:tr w:rsidR="00A64715" w:rsidRPr="006859CF">
        <w:trPr>
          <w:trHeight w:val="260"/>
        </w:trPr>
        <w:tc>
          <w:tcPr>
            <w:tcW w:w="8506" w:type="dxa"/>
            <w:gridSpan w:val="2"/>
            <w:vMerge/>
          </w:tcPr>
          <w:p w:rsidR="00A64715" w:rsidRPr="00C63C95" w:rsidRDefault="00A64715">
            <w:pPr>
              <w:shd w:val="clear" w:color="auto" w:fill="FFFFFF"/>
              <w:jc w:val="both"/>
              <w:rPr>
                <w:rFonts w:asciiTheme="majorHAnsi" w:eastAsia="DM Sans" w:hAnsiTheme="majorHAnsi" w:cstheme="majorHAnsi"/>
                <w:lang w:val="el-GR"/>
              </w:rPr>
            </w:pPr>
          </w:p>
        </w:tc>
      </w:tr>
      <w:tr w:rsidR="00A64715" w:rsidRPr="006859CF">
        <w:trPr>
          <w:trHeight w:val="260"/>
        </w:trPr>
        <w:tc>
          <w:tcPr>
            <w:tcW w:w="8506" w:type="dxa"/>
            <w:gridSpan w:val="2"/>
            <w:vMerge/>
          </w:tcPr>
          <w:p w:rsidR="00A64715" w:rsidRPr="00C63C95" w:rsidRDefault="00A64715">
            <w:pPr>
              <w:shd w:val="clear" w:color="auto" w:fill="FFFFFF"/>
              <w:jc w:val="both"/>
              <w:rPr>
                <w:rFonts w:asciiTheme="majorHAnsi" w:eastAsia="DM Sans" w:hAnsiTheme="majorHAnsi" w:cstheme="majorHAnsi"/>
                <w:lang w:val="el-GR"/>
              </w:rPr>
            </w:pPr>
          </w:p>
        </w:tc>
      </w:tr>
    </w:tbl>
    <w:p w:rsidR="00A64715" w:rsidRPr="00C63C95" w:rsidRDefault="00A64715">
      <w:pPr>
        <w:spacing w:before="120" w:after="120" w:line="240" w:lineRule="auto"/>
        <w:jc w:val="both"/>
        <w:rPr>
          <w:rFonts w:asciiTheme="majorHAnsi" w:eastAsia="DM Sans" w:hAnsiTheme="majorHAnsi" w:cstheme="majorHAnsi"/>
          <w:sz w:val="20"/>
          <w:szCs w:val="20"/>
          <w:lang w:val="el-GR"/>
        </w:rPr>
      </w:pPr>
    </w:p>
    <w:p w:rsidR="00A64715" w:rsidRPr="00C63C95" w:rsidRDefault="00A64715">
      <w:pPr>
        <w:spacing w:line="240" w:lineRule="auto"/>
        <w:rPr>
          <w:rFonts w:asciiTheme="majorHAnsi" w:eastAsia="DM Sans" w:hAnsiTheme="majorHAnsi" w:cstheme="majorHAnsi"/>
          <w:sz w:val="20"/>
          <w:szCs w:val="20"/>
          <w:lang w:val="el-GR"/>
        </w:rPr>
      </w:pPr>
    </w:p>
    <w:sectPr w:rsidR="00A64715" w:rsidRPr="00C63C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M Sans">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15"/>
    <w:rsid w:val="006859CF"/>
    <w:rsid w:val="00A20F9C"/>
    <w:rsid w:val="00A64715"/>
    <w:rsid w:val="00C55FCF"/>
    <w:rsid w:val="00C63C95"/>
    <w:rsid w:val="00D001EA"/>
    <w:rsid w:val="00EF541D"/>
    <w:rsid w:val="00F4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B5AF"/>
  <w15:docId w15:val="{7CFEBFA3-8A3D-4BA9-BC0B-B7DC011E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pPr>
      <w:spacing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C55F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8567">
      <w:bodyDiv w:val="1"/>
      <w:marLeft w:val="0"/>
      <w:marRight w:val="0"/>
      <w:marTop w:val="0"/>
      <w:marBottom w:val="0"/>
      <w:divBdr>
        <w:top w:val="none" w:sz="0" w:space="0" w:color="auto"/>
        <w:left w:val="none" w:sz="0" w:space="0" w:color="auto"/>
        <w:bottom w:val="none" w:sz="0" w:space="0" w:color="auto"/>
        <w:right w:val="none" w:sz="0" w:space="0" w:color="auto"/>
      </w:divBdr>
    </w:div>
    <w:div w:id="221604807">
      <w:bodyDiv w:val="1"/>
      <w:marLeft w:val="0"/>
      <w:marRight w:val="0"/>
      <w:marTop w:val="0"/>
      <w:marBottom w:val="0"/>
      <w:divBdr>
        <w:top w:val="none" w:sz="0" w:space="0" w:color="auto"/>
        <w:left w:val="none" w:sz="0" w:space="0" w:color="auto"/>
        <w:bottom w:val="none" w:sz="0" w:space="0" w:color="auto"/>
        <w:right w:val="none" w:sz="0" w:space="0" w:color="auto"/>
      </w:divBdr>
    </w:div>
    <w:div w:id="267391503">
      <w:bodyDiv w:val="1"/>
      <w:marLeft w:val="0"/>
      <w:marRight w:val="0"/>
      <w:marTop w:val="0"/>
      <w:marBottom w:val="0"/>
      <w:divBdr>
        <w:top w:val="none" w:sz="0" w:space="0" w:color="auto"/>
        <w:left w:val="none" w:sz="0" w:space="0" w:color="auto"/>
        <w:bottom w:val="none" w:sz="0" w:space="0" w:color="auto"/>
        <w:right w:val="none" w:sz="0" w:space="0" w:color="auto"/>
      </w:divBdr>
    </w:div>
    <w:div w:id="288979687">
      <w:bodyDiv w:val="1"/>
      <w:marLeft w:val="0"/>
      <w:marRight w:val="0"/>
      <w:marTop w:val="0"/>
      <w:marBottom w:val="0"/>
      <w:divBdr>
        <w:top w:val="none" w:sz="0" w:space="0" w:color="auto"/>
        <w:left w:val="none" w:sz="0" w:space="0" w:color="auto"/>
        <w:bottom w:val="none" w:sz="0" w:space="0" w:color="auto"/>
        <w:right w:val="none" w:sz="0" w:space="0" w:color="auto"/>
      </w:divBdr>
    </w:div>
    <w:div w:id="369915737">
      <w:bodyDiv w:val="1"/>
      <w:marLeft w:val="0"/>
      <w:marRight w:val="0"/>
      <w:marTop w:val="0"/>
      <w:marBottom w:val="0"/>
      <w:divBdr>
        <w:top w:val="none" w:sz="0" w:space="0" w:color="auto"/>
        <w:left w:val="none" w:sz="0" w:space="0" w:color="auto"/>
        <w:bottom w:val="none" w:sz="0" w:space="0" w:color="auto"/>
        <w:right w:val="none" w:sz="0" w:space="0" w:color="auto"/>
      </w:divBdr>
    </w:div>
    <w:div w:id="1500927632">
      <w:bodyDiv w:val="1"/>
      <w:marLeft w:val="0"/>
      <w:marRight w:val="0"/>
      <w:marTop w:val="0"/>
      <w:marBottom w:val="0"/>
      <w:divBdr>
        <w:top w:val="none" w:sz="0" w:space="0" w:color="auto"/>
        <w:left w:val="none" w:sz="0" w:space="0" w:color="auto"/>
        <w:bottom w:val="none" w:sz="0" w:space="0" w:color="auto"/>
        <w:right w:val="none" w:sz="0" w:space="0" w:color="auto"/>
      </w:divBdr>
    </w:div>
    <w:div w:id="1568762741">
      <w:bodyDiv w:val="1"/>
      <w:marLeft w:val="0"/>
      <w:marRight w:val="0"/>
      <w:marTop w:val="0"/>
      <w:marBottom w:val="0"/>
      <w:divBdr>
        <w:top w:val="none" w:sz="0" w:space="0" w:color="auto"/>
        <w:left w:val="none" w:sz="0" w:space="0" w:color="auto"/>
        <w:bottom w:val="none" w:sz="0" w:space="0" w:color="auto"/>
        <w:right w:val="none" w:sz="0" w:space="0" w:color="auto"/>
      </w:divBdr>
    </w:div>
    <w:div w:id="1629319875">
      <w:bodyDiv w:val="1"/>
      <w:marLeft w:val="0"/>
      <w:marRight w:val="0"/>
      <w:marTop w:val="0"/>
      <w:marBottom w:val="0"/>
      <w:divBdr>
        <w:top w:val="none" w:sz="0" w:space="0" w:color="auto"/>
        <w:left w:val="none" w:sz="0" w:space="0" w:color="auto"/>
        <w:bottom w:val="none" w:sz="0" w:space="0" w:color="auto"/>
        <w:right w:val="none" w:sz="0" w:space="0" w:color="auto"/>
      </w:divBdr>
    </w:div>
    <w:div w:id="2079161538">
      <w:bodyDiv w:val="1"/>
      <w:marLeft w:val="0"/>
      <w:marRight w:val="0"/>
      <w:marTop w:val="0"/>
      <w:marBottom w:val="0"/>
      <w:divBdr>
        <w:top w:val="none" w:sz="0" w:space="0" w:color="auto"/>
        <w:left w:val="none" w:sz="0" w:space="0" w:color="auto"/>
        <w:bottom w:val="none" w:sz="0" w:space="0" w:color="auto"/>
        <w:right w:val="none" w:sz="0" w:space="0" w:color="auto"/>
      </w:divBdr>
    </w:div>
    <w:div w:id="2145537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Constantinou</dc:creator>
  <cp:lastModifiedBy>Eleni Constantinou</cp:lastModifiedBy>
  <cp:revision>5</cp:revision>
  <dcterms:created xsi:type="dcterms:W3CDTF">2025-07-11T08:20:00Z</dcterms:created>
  <dcterms:modified xsi:type="dcterms:W3CDTF">2025-07-11T08:24:00Z</dcterms:modified>
</cp:coreProperties>
</file>